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004944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>кого автономного округа – Югры 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Абсаидова Азамата Шахрубековича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 Тюменская область, Сургутский 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айон, </w:t>
      </w:r>
      <w:r>
        <w:rPr>
          <w:rStyle w:val="cat-UserDefinedgrp-31rplc-18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бсаидов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.Ш. </w:t>
      </w:r>
      <w:r>
        <w:rPr>
          <w:rFonts w:ascii="Times New Roman" w:eastAsia="Times New Roman" w:hAnsi="Times New Roman" w:cs="Times New Roman"/>
          <w:sz w:val="28"/>
          <w:szCs w:val="28"/>
        </w:rPr>
        <w:t>не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Абсаидов 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</w:t>
      </w:r>
      <w:r>
        <w:rPr>
          <w:rFonts w:ascii="Times New Roman" w:eastAsia="Times New Roman" w:hAnsi="Times New Roman" w:cs="Times New Roman"/>
          <w:sz w:val="28"/>
          <w:szCs w:val="28"/>
        </w:rPr>
        <w:t>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предоставил, в деле имеется конверт с отметкой «</w:t>
      </w:r>
      <w:r>
        <w:rPr>
          <w:rFonts w:ascii="Times New Roman" w:eastAsia="Times New Roman" w:hAnsi="Times New Roman" w:cs="Times New Roman"/>
          <w:sz w:val="28"/>
          <w:szCs w:val="28"/>
        </w:rPr>
        <w:t>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факсимильной </w:t>
      </w:r>
      <w:r>
        <w:rPr>
          <w:rFonts w:ascii="Times New Roman" w:eastAsia="Times New Roman" w:hAnsi="Times New Roman" w:cs="Times New Roman"/>
          <w:sz w:val="28"/>
          <w:szCs w:val="28"/>
        </w:rPr>
        <w:t>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Абсаидов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Абсаидов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административном правонарушении в отношении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Абсаидова 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Абсаидова 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Абсаидова 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Абсаидова Азамата Шахрубековича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привлекаемому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6372420170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637</w:t>
      </w:r>
      <w:r>
        <w:rPr>
          <w:rFonts w:ascii="Times New Roman" w:eastAsia="Times New Roman" w:hAnsi="Times New Roman" w:cs="Times New Roman"/>
          <w:sz w:val="28"/>
          <w:szCs w:val="28"/>
        </w:rPr>
        <w:t>-1505/2024.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16727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98FA-A842-45AA-A27F-844A0444D3F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